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51097" w14:textId="77777777" w:rsidR="00B048D3" w:rsidRPr="00DC5800" w:rsidRDefault="00B048D3" w:rsidP="00B048D3">
      <w:pPr>
        <w:jc w:val="center"/>
        <w:rPr>
          <w:b/>
          <w:color w:val="000000" w:themeColor="text1"/>
        </w:rPr>
      </w:pPr>
      <w:r w:rsidRPr="00DC5800">
        <w:rPr>
          <w:b/>
          <w:color w:val="000000" w:themeColor="text1"/>
        </w:rPr>
        <w:t xml:space="preserve">The </w:t>
      </w:r>
      <w:r w:rsidRPr="00DC5800">
        <w:rPr>
          <w:rFonts w:hint="eastAsia"/>
          <w:b/>
          <w:color w:val="000000" w:themeColor="text1"/>
        </w:rPr>
        <w:t>Four</w:t>
      </w:r>
      <w:r w:rsidRPr="00DC5800">
        <w:rPr>
          <w:b/>
          <w:color w:val="000000" w:themeColor="text1"/>
        </w:rPr>
        <w:t>teenth International Conference of the Taiwan Association of Classical, Medieval and Renaissance Studies</w:t>
      </w:r>
      <w:r w:rsidR="00483860" w:rsidRPr="00DC5800">
        <w:rPr>
          <w:rFonts w:hint="eastAsia"/>
          <w:b/>
          <w:color w:val="000000" w:themeColor="text1"/>
        </w:rPr>
        <w:t xml:space="preserve"> (TACMRS)</w:t>
      </w:r>
    </w:p>
    <w:p w14:paraId="34DA4839" w14:textId="77777777" w:rsidR="00B048D3" w:rsidRPr="00DC5800" w:rsidRDefault="00B048D3" w:rsidP="00B048D3">
      <w:pPr>
        <w:jc w:val="center"/>
        <w:rPr>
          <w:b/>
          <w:color w:val="000000" w:themeColor="text1"/>
        </w:rPr>
      </w:pPr>
    </w:p>
    <w:p w14:paraId="3511849B" w14:textId="77777777" w:rsidR="00B048D3" w:rsidRPr="00DC5800" w:rsidRDefault="00B048D3" w:rsidP="00B048D3">
      <w:pPr>
        <w:jc w:val="center"/>
        <w:rPr>
          <w:b/>
          <w:color w:val="000000" w:themeColor="text1"/>
        </w:rPr>
      </w:pPr>
      <w:r w:rsidRPr="00DC5800">
        <w:rPr>
          <w:b/>
          <w:color w:val="000000" w:themeColor="text1"/>
        </w:rPr>
        <w:t>23-24 October 2020</w:t>
      </w:r>
    </w:p>
    <w:p w14:paraId="7C18F63D" w14:textId="77777777" w:rsidR="00B048D3" w:rsidRPr="00DC5800" w:rsidRDefault="00B048D3" w:rsidP="00B048D3">
      <w:pPr>
        <w:jc w:val="center"/>
        <w:rPr>
          <w:b/>
          <w:color w:val="000000" w:themeColor="text1"/>
        </w:rPr>
      </w:pPr>
      <w:r w:rsidRPr="00DC5800">
        <w:rPr>
          <w:b/>
          <w:color w:val="000000" w:themeColor="text1"/>
        </w:rPr>
        <w:t>National Taiwan University</w:t>
      </w:r>
    </w:p>
    <w:p w14:paraId="64AB6A62" w14:textId="77777777" w:rsidR="00B048D3" w:rsidRPr="00DC5800" w:rsidRDefault="00B048D3" w:rsidP="00B048D3">
      <w:pPr>
        <w:rPr>
          <w:b/>
          <w:color w:val="000000" w:themeColor="text1"/>
        </w:rPr>
      </w:pPr>
    </w:p>
    <w:p w14:paraId="1F1D24EB" w14:textId="77777777" w:rsidR="00B048D3" w:rsidRPr="00DC5800" w:rsidRDefault="00B048D3" w:rsidP="00B048D3">
      <w:pPr>
        <w:jc w:val="center"/>
        <w:rPr>
          <w:b/>
          <w:color w:val="000000" w:themeColor="text1"/>
          <w:u w:val="single"/>
        </w:rPr>
      </w:pPr>
      <w:r w:rsidRPr="00DC5800">
        <w:rPr>
          <w:b/>
          <w:color w:val="000000" w:themeColor="text1"/>
          <w:u w:val="single"/>
        </w:rPr>
        <w:t>Call for Papers</w:t>
      </w:r>
    </w:p>
    <w:p w14:paraId="3C1E13C1" w14:textId="77777777" w:rsidR="00B048D3" w:rsidRPr="00DC5800" w:rsidRDefault="00B048D3" w:rsidP="00B048D3">
      <w:pPr>
        <w:rPr>
          <w:b/>
          <w:color w:val="000000" w:themeColor="text1"/>
        </w:rPr>
      </w:pPr>
    </w:p>
    <w:p w14:paraId="68E8986B" w14:textId="77777777" w:rsidR="00B048D3" w:rsidRPr="00DC5800" w:rsidRDefault="00B048D3" w:rsidP="00B048D3">
      <w:pPr>
        <w:jc w:val="center"/>
        <w:rPr>
          <w:b/>
          <w:color w:val="000000" w:themeColor="text1"/>
        </w:rPr>
      </w:pPr>
      <w:r w:rsidRPr="00DC5800">
        <w:rPr>
          <w:b/>
          <w:color w:val="000000" w:themeColor="text1"/>
        </w:rPr>
        <w:t>Food: Sacrificial, Spiritual, and Secular</w:t>
      </w:r>
    </w:p>
    <w:p w14:paraId="3E2C41C0" w14:textId="77777777" w:rsidR="00B048D3" w:rsidRPr="00DC5800" w:rsidRDefault="00B048D3" w:rsidP="00B048D3">
      <w:pPr>
        <w:rPr>
          <w:color w:val="000000" w:themeColor="text1"/>
        </w:rPr>
      </w:pPr>
    </w:p>
    <w:p w14:paraId="42E32669" w14:textId="68B62CA7" w:rsidR="00CC14A0" w:rsidRPr="00DC5800" w:rsidRDefault="00943EE5" w:rsidP="00B048D3">
      <w:pPr>
        <w:rPr>
          <w:color w:val="000000" w:themeColor="text1"/>
        </w:rPr>
      </w:pPr>
      <w:r w:rsidRPr="00DC5800">
        <w:rPr>
          <w:color w:val="000000" w:themeColor="text1"/>
        </w:rPr>
        <w:t>Food, whether secular</w:t>
      </w:r>
      <w:r w:rsidR="001E5DA7" w:rsidRPr="00DC5800">
        <w:rPr>
          <w:color w:val="000000" w:themeColor="text1"/>
        </w:rPr>
        <w:t xml:space="preserve"> or spiritual</w:t>
      </w:r>
      <w:r w:rsidRPr="00DC5800">
        <w:rPr>
          <w:color w:val="000000" w:themeColor="text1"/>
        </w:rPr>
        <w:t xml:space="preserve">, </w:t>
      </w:r>
      <w:r w:rsidR="001E5DA7" w:rsidRPr="00DC5800">
        <w:rPr>
          <w:color w:val="000000" w:themeColor="text1"/>
        </w:rPr>
        <w:t xml:space="preserve">physical or </w:t>
      </w:r>
      <w:r w:rsidRPr="00DC5800">
        <w:rPr>
          <w:color w:val="000000" w:themeColor="text1"/>
        </w:rPr>
        <w:t>metaphysical, human or nonhuman, has been an important issue throughout the history</w:t>
      </w:r>
      <w:r w:rsidR="001E5DA7" w:rsidRPr="00DC5800">
        <w:rPr>
          <w:color w:val="000000" w:themeColor="text1"/>
        </w:rPr>
        <w:t xml:space="preserve"> of this planet</w:t>
      </w:r>
      <w:r w:rsidRPr="00DC5800">
        <w:rPr>
          <w:color w:val="000000" w:themeColor="text1"/>
        </w:rPr>
        <w:t xml:space="preserve">. </w:t>
      </w:r>
      <w:r w:rsidR="00A42DCB" w:rsidRPr="00DC5800">
        <w:rPr>
          <w:color w:val="000000" w:themeColor="text1"/>
        </w:rPr>
        <w:t>Human h</w:t>
      </w:r>
      <w:r w:rsidR="001E5DA7" w:rsidRPr="00DC5800">
        <w:rPr>
          <w:color w:val="000000" w:themeColor="text1"/>
        </w:rPr>
        <w:t xml:space="preserve">istory is a </w:t>
      </w:r>
      <w:r w:rsidR="00496DF9" w:rsidRPr="00DC5800">
        <w:rPr>
          <w:color w:val="000000" w:themeColor="text1"/>
        </w:rPr>
        <w:t xml:space="preserve">long </w:t>
      </w:r>
      <w:r w:rsidR="00A42DCB" w:rsidRPr="00DC5800">
        <w:rPr>
          <w:color w:val="000000" w:themeColor="text1"/>
        </w:rPr>
        <w:t xml:space="preserve">story </w:t>
      </w:r>
      <w:r w:rsidR="001E5DA7" w:rsidRPr="00DC5800">
        <w:rPr>
          <w:color w:val="000000" w:themeColor="text1"/>
        </w:rPr>
        <w:t xml:space="preserve">of appetitive contest with </w:t>
      </w:r>
      <w:r w:rsidR="00A42DCB" w:rsidRPr="00DC5800">
        <w:rPr>
          <w:color w:val="000000" w:themeColor="text1"/>
        </w:rPr>
        <w:t>n</w:t>
      </w:r>
      <w:r w:rsidR="001E5DA7" w:rsidRPr="00DC5800">
        <w:rPr>
          <w:color w:val="000000" w:themeColor="text1"/>
        </w:rPr>
        <w:t>ature and the environment</w:t>
      </w:r>
      <w:r w:rsidR="00496DF9" w:rsidRPr="00DC5800">
        <w:rPr>
          <w:color w:val="000000" w:themeColor="text1"/>
        </w:rPr>
        <w:t xml:space="preserve">, </w:t>
      </w:r>
      <w:r w:rsidR="00A42DCB" w:rsidRPr="00DC5800">
        <w:rPr>
          <w:color w:val="000000" w:themeColor="text1"/>
        </w:rPr>
        <w:t xml:space="preserve">while </w:t>
      </w:r>
      <w:r w:rsidR="001E5DA7" w:rsidRPr="00DC5800">
        <w:rPr>
          <w:color w:val="000000" w:themeColor="text1"/>
        </w:rPr>
        <w:t xml:space="preserve">consumption </w:t>
      </w:r>
      <w:r w:rsidR="00496DF9" w:rsidRPr="00DC5800">
        <w:rPr>
          <w:color w:val="000000" w:themeColor="text1"/>
        </w:rPr>
        <w:t xml:space="preserve">is </w:t>
      </w:r>
      <w:r w:rsidR="001E5DA7" w:rsidRPr="00DC5800">
        <w:rPr>
          <w:color w:val="000000" w:themeColor="text1"/>
        </w:rPr>
        <w:t xml:space="preserve">an empowering practice </w:t>
      </w:r>
      <w:r w:rsidR="00A42DCB" w:rsidRPr="00DC5800">
        <w:rPr>
          <w:color w:val="000000" w:themeColor="text1"/>
        </w:rPr>
        <w:t xml:space="preserve">that </w:t>
      </w:r>
      <w:r w:rsidR="001E5DA7" w:rsidRPr="00DC5800">
        <w:rPr>
          <w:color w:val="000000" w:themeColor="text1"/>
        </w:rPr>
        <w:t>involves struggle</w:t>
      </w:r>
      <w:r w:rsidR="007F5C11" w:rsidRPr="00DC5800">
        <w:rPr>
          <w:color w:val="000000" w:themeColor="text1"/>
        </w:rPr>
        <w:t xml:space="preserve"> and sacrifice</w:t>
      </w:r>
      <w:r w:rsidR="001E5DA7" w:rsidRPr="00DC5800">
        <w:rPr>
          <w:color w:val="000000" w:themeColor="text1"/>
        </w:rPr>
        <w:t>.</w:t>
      </w:r>
      <w:r w:rsidRPr="00DC5800">
        <w:rPr>
          <w:color w:val="000000" w:themeColor="text1"/>
        </w:rPr>
        <w:t xml:space="preserve"> </w:t>
      </w:r>
      <w:r w:rsidR="00CC14A0" w:rsidRPr="00DC5800">
        <w:rPr>
          <w:color w:val="000000" w:themeColor="text1"/>
        </w:rPr>
        <w:t>The matter of food may illuminate or complicate histories of labor, leisure, science, production, ethical consideration</w:t>
      </w:r>
      <w:r w:rsidR="00A42DCB" w:rsidRPr="00DC5800">
        <w:rPr>
          <w:color w:val="000000" w:themeColor="text1"/>
        </w:rPr>
        <w:t>s</w:t>
      </w:r>
      <w:r w:rsidR="00CC14A0" w:rsidRPr="00DC5800">
        <w:rPr>
          <w:color w:val="000000" w:themeColor="text1"/>
        </w:rPr>
        <w:t xml:space="preserve">, </w:t>
      </w:r>
      <w:r w:rsidR="00A42DCB" w:rsidRPr="00DC5800">
        <w:rPr>
          <w:color w:val="000000" w:themeColor="text1"/>
        </w:rPr>
        <w:t xml:space="preserve">religious discourse and practices, </w:t>
      </w:r>
      <w:r w:rsidR="00CC14A0" w:rsidRPr="00DC5800">
        <w:rPr>
          <w:color w:val="000000" w:themeColor="text1"/>
        </w:rPr>
        <w:t xml:space="preserve">and environmental </w:t>
      </w:r>
      <w:r w:rsidR="00CC14A0" w:rsidRPr="00DC5800">
        <w:rPr>
          <w:rFonts w:hint="eastAsia"/>
          <w:color w:val="000000" w:themeColor="text1"/>
        </w:rPr>
        <w:t>concerns</w:t>
      </w:r>
      <w:r w:rsidR="00CC14A0" w:rsidRPr="00DC5800">
        <w:rPr>
          <w:color w:val="000000" w:themeColor="text1"/>
        </w:rPr>
        <w:t xml:space="preserve">. </w:t>
      </w:r>
    </w:p>
    <w:p w14:paraId="1F4564CF" w14:textId="77777777" w:rsidR="00CC14A0" w:rsidRPr="00DC5800" w:rsidRDefault="00CC14A0" w:rsidP="00B048D3">
      <w:pPr>
        <w:rPr>
          <w:color w:val="000000" w:themeColor="text1"/>
        </w:rPr>
      </w:pPr>
    </w:p>
    <w:p w14:paraId="44392ACC" w14:textId="68170778" w:rsidR="00CC14A0" w:rsidRPr="00DC5800" w:rsidRDefault="00CC14A0" w:rsidP="00B048D3">
      <w:pPr>
        <w:rPr>
          <w:color w:val="000000" w:themeColor="text1"/>
        </w:rPr>
      </w:pPr>
      <w:r w:rsidRPr="00DC5800">
        <w:rPr>
          <w:color w:val="000000" w:themeColor="text1"/>
        </w:rPr>
        <w:t xml:space="preserve">Eating </w:t>
      </w:r>
      <w:r w:rsidR="00B2355C" w:rsidRPr="00DC5800">
        <w:rPr>
          <w:rFonts w:hint="eastAsia"/>
          <w:color w:val="000000" w:themeColor="text1"/>
        </w:rPr>
        <w:t xml:space="preserve">and drinking </w:t>
      </w:r>
      <w:r w:rsidR="00B2355C" w:rsidRPr="00DC5800">
        <w:rPr>
          <w:color w:val="000000" w:themeColor="text1"/>
        </w:rPr>
        <w:t>are</w:t>
      </w:r>
      <w:r w:rsidRPr="00DC5800">
        <w:rPr>
          <w:color w:val="000000" w:themeColor="text1"/>
        </w:rPr>
        <w:t xml:space="preserve"> not only biological behavior</w:t>
      </w:r>
      <w:r w:rsidR="00B2355C" w:rsidRPr="00DC5800">
        <w:rPr>
          <w:color w:val="000000" w:themeColor="text1"/>
        </w:rPr>
        <w:t>s</w:t>
      </w:r>
      <w:r w:rsidRPr="00DC5800">
        <w:rPr>
          <w:color w:val="000000" w:themeColor="text1"/>
        </w:rPr>
        <w:t xml:space="preserve"> but also act</w:t>
      </w:r>
      <w:r w:rsidR="00B2355C" w:rsidRPr="00DC5800">
        <w:rPr>
          <w:color w:val="000000" w:themeColor="text1"/>
        </w:rPr>
        <w:t>s</w:t>
      </w:r>
      <w:r w:rsidRPr="00DC5800">
        <w:rPr>
          <w:color w:val="000000" w:themeColor="text1"/>
        </w:rPr>
        <w:t xml:space="preserve"> </w:t>
      </w:r>
      <w:r w:rsidR="00A42DCB" w:rsidRPr="00DC5800">
        <w:rPr>
          <w:color w:val="000000" w:themeColor="text1"/>
        </w:rPr>
        <w:t>filled with</w:t>
      </w:r>
      <w:r w:rsidRPr="00DC5800">
        <w:rPr>
          <w:color w:val="000000" w:themeColor="text1"/>
        </w:rPr>
        <w:t xml:space="preserve"> </w:t>
      </w:r>
      <w:r w:rsidR="006309AB" w:rsidRPr="00DC5800">
        <w:rPr>
          <w:color w:val="000000" w:themeColor="text1"/>
        </w:rPr>
        <w:t xml:space="preserve">deeper </w:t>
      </w:r>
      <w:r w:rsidRPr="00DC5800">
        <w:rPr>
          <w:color w:val="000000" w:themeColor="text1"/>
        </w:rPr>
        <w:t xml:space="preserve">significance. </w:t>
      </w:r>
      <w:r w:rsidR="00A42DCB" w:rsidRPr="00DC5800">
        <w:rPr>
          <w:color w:val="000000" w:themeColor="text1"/>
        </w:rPr>
        <w:t xml:space="preserve">In the </w:t>
      </w:r>
      <w:r w:rsidR="00D72D67" w:rsidRPr="00DC5800">
        <w:rPr>
          <w:color w:val="000000" w:themeColor="text1"/>
        </w:rPr>
        <w:t xml:space="preserve">Book of </w:t>
      </w:r>
      <w:r w:rsidR="00B32BDC" w:rsidRPr="00DC5800">
        <w:rPr>
          <w:color w:val="000000" w:themeColor="text1"/>
        </w:rPr>
        <w:t>Genesis</w:t>
      </w:r>
      <w:r w:rsidR="000D43D8">
        <w:rPr>
          <w:color w:val="000000" w:themeColor="text1"/>
        </w:rPr>
        <w:t>,</w:t>
      </w:r>
      <w:r w:rsidR="00B32BDC" w:rsidRPr="00DC5800">
        <w:rPr>
          <w:color w:val="000000" w:themeColor="text1"/>
        </w:rPr>
        <w:t xml:space="preserve"> </w:t>
      </w:r>
      <w:r w:rsidR="00A42DCB" w:rsidRPr="00DC5800">
        <w:rPr>
          <w:color w:val="000000" w:themeColor="text1"/>
        </w:rPr>
        <w:t xml:space="preserve">God </w:t>
      </w:r>
      <w:r w:rsidR="00B32BDC" w:rsidRPr="00DC5800">
        <w:rPr>
          <w:color w:val="000000" w:themeColor="text1"/>
        </w:rPr>
        <w:t>endows human</w:t>
      </w:r>
      <w:r w:rsidR="00A42DCB" w:rsidRPr="00DC5800">
        <w:rPr>
          <w:color w:val="000000" w:themeColor="text1"/>
        </w:rPr>
        <w:t xml:space="preserve">s with </w:t>
      </w:r>
      <w:r w:rsidR="00B32BDC" w:rsidRPr="00DC5800">
        <w:rPr>
          <w:color w:val="000000" w:themeColor="text1"/>
        </w:rPr>
        <w:t>ascendancy over the natural world</w:t>
      </w:r>
      <w:r w:rsidR="00A42DCB" w:rsidRPr="00DC5800">
        <w:rPr>
          <w:color w:val="000000" w:themeColor="text1"/>
        </w:rPr>
        <w:t>, just</w:t>
      </w:r>
      <w:r w:rsidR="00B32BDC" w:rsidRPr="00DC5800">
        <w:rPr>
          <w:color w:val="000000" w:themeColor="text1"/>
        </w:rPr>
        <w:t xml:space="preserve"> as Noah is instructed that every living thing is a potential meal for humankind. </w:t>
      </w:r>
      <w:r w:rsidRPr="00DC5800">
        <w:rPr>
          <w:color w:val="000000" w:themeColor="text1"/>
        </w:rPr>
        <w:t xml:space="preserve">The rules </w:t>
      </w:r>
      <w:r w:rsidR="00A42DCB" w:rsidRPr="00DC5800">
        <w:rPr>
          <w:color w:val="000000" w:themeColor="text1"/>
        </w:rPr>
        <w:t xml:space="preserve">for </w:t>
      </w:r>
      <w:r w:rsidRPr="00DC5800">
        <w:rPr>
          <w:color w:val="000000" w:themeColor="text1"/>
        </w:rPr>
        <w:t>the edible and nonedible in t</w:t>
      </w:r>
      <w:r w:rsidR="001E5DA7" w:rsidRPr="00DC5800">
        <w:rPr>
          <w:color w:val="000000" w:themeColor="text1"/>
        </w:rPr>
        <w:t xml:space="preserve">he Bible </w:t>
      </w:r>
      <w:r w:rsidR="00496DF9" w:rsidRPr="00DC5800">
        <w:rPr>
          <w:color w:val="000000" w:themeColor="text1"/>
        </w:rPr>
        <w:t xml:space="preserve">concern </w:t>
      </w:r>
      <w:r w:rsidR="00B32BDC" w:rsidRPr="00DC5800">
        <w:rPr>
          <w:color w:val="000000" w:themeColor="text1"/>
        </w:rPr>
        <w:t xml:space="preserve">the </w:t>
      </w:r>
      <w:r w:rsidR="00496DF9" w:rsidRPr="00DC5800">
        <w:rPr>
          <w:color w:val="000000" w:themeColor="text1"/>
        </w:rPr>
        <w:t xml:space="preserve">establishment of a </w:t>
      </w:r>
      <w:r w:rsidR="00B32BDC" w:rsidRPr="00DC5800">
        <w:rPr>
          <w:color w:val="000000" w:themeColor="text1"/>
        </w:rPr>
        <w:t>communal identity.</w:t>
      </w:r>
      <w:r w:rsidRPr="00DC5800">
        <w:rPr>
          <w:color w:val="000000" w:themeColor="text1"/>
        </w:rPr>
        <w:t xml:space="preserve"> </w:t>
      </w:r>
      <w:r w:rsidR="00B2355C" w:rsidRPr="00DC5800">
        <w:rPr>
          <w:color w:val="000000" w:themeColor="text1"/>
        </w:rPr>
        <w:t xml:space="preserve">In Greek mythology, the change of the seasons is caused by </w:t>
      </w:r>
      <w:r w:rsidR="00DE1E77" w:rsidRPr="00DC5800">
        <w:rPr>
          <w:color w:val="000000" w:themeColor="text1"/>
        </w:rPr>
        <w:t>Persephone’s</w:t>
      </w:r>
      <w:r w:rsidR="00B2355C" w:rsidRPr="00DC5800">
        <w:rPr>
          <w:color w:val="000000" w:themeColor="text1"/>
        </w:rPr>
        <w:t xml:space="preserve"> eating </w:t>
      </w:r>
      <w:r w:rsidR="00A42DCB" w:rsidRPr="00DC5800">
        <w:rPr>
          <w:color w:val="000000" w:themeColor="text1"/>
        </w:rPr>
        <w:t xml:space="preserve">of </w:t>
      </w:r>
      <w:r w:rsidR="00DE1E77" w:rsidRPr="00DC5800">
        <w:rPr>
          <w:rFonts w:hint="eastAsia"/>
          <w:color w:val="000000" w:themeColor="text1"/>
        </w:rPr>
        <w:t xml:space="preserve">the </w:t>
      </w:r>
      <w:r w:rsidR="00B2355C" w:rsidRPr="00DC5800">
        <w:rPr>
          <w:color w:val="000000" w:themeColor="text1"/>
        </w:rPr>
        <w:t xml:space="preserve">seeds of </w:t>
      </w:r>
      <w:r w:rsidR="000D43D8">
        <w:rPr>
          <w:color w:val="000000" w:themeColor="text1"/>
        </w:rPr>
        <w:t xml:space="preserve">a </w:t>
      </w:r>
      <w:r w:rsidR="00B2355C" w:rsidRPr="00DC5800">
        <w:rPr>
          <w:color w:val="000000" w:themeColor="text1"/>
        </w:rPr>
        <w:t xml:space="preserve">pomegranate in Hades. </w:t>
      </w:r>
      <w:r w:rsidR="005B154B" w:rsidRPr="00DC5800">
        <w:rPr>
          <w:color w:val="000000" w:themeColor="text1"/>
        </w:rPr>
        <w:t xml:space="preserve">In the </w:t>
      </w:r>
      <w:r w:rsidR="005B154B" w:rsidRPr="00DC5800">
        <w:rPr>
          <w:i/>
          <w:color w:val="000000" w:themeColor="text1"/>
        </w:rPr>
        <w:t>Iliad</w:t>
      </w:r>
      <w:r w:rsidR="005B154B" w:rsidRPr="00DC5800">
        <w:rPr>
          <w:color w:val="000000" w:themeColor="text1"/>
        </w:rPr>
        <w:t xml:space="preserve">, </w:t>
      </w:r>
      <w:r w:rsidR="00D72D67" w:rsidRPr="00DC5800">
        <w:rPr>
          <w:color w:val="000000" w:themeColor="text1"/>
        </w:rPr>
        <w:t xml:space="preserve">Achilles’s refusal to eat indicates both his super- and sub-human </w:t>
      </w:r>
      <w:r w:rsidR="00914C2D" w:rsidRPr="00DC5800">
        <w:rPr>
          <w:color w:val="000000" w:themeColor="text1"/>
        </w:rPr>
        <w:t xml:space="preserve">status. </w:t>
      </w:r>
      <w:r w:rsidRPr="00DC5800">
        <w:rPr>
          <w:color w:val="000000" w:themeColor="text1"/>
        </w:rPr>
        <w:t xml:space="preserve">Eating </w:t>
      </w:r>
      <w:r w:rsidR="00B2355C" w:rsidRPr="00DC5800">
        <w:rPr>
          <w:color w:val="000000" w:themeColor="text1"/>
        </w:rPr>
        <w:t xml:space="preserve">and drinking </w:t>
      </w:r>
      <w:r w:rsidRPr="00DC5800">
        <w:rPr>
          <w:color w:val="000000" w:themeColor="text1"/>
        </w:rPr>
        <w:t xml:space="preserve">in many religions also </w:t>
      </w:r>
      <w:r w:rsidR="00914C2D" w:rsidRPr="00DC5800">
        <w:rPr>
          <w:color w:val="000000" w:themeColor="text1"/>
        </w:rPr>
        <w:t>serve as fundamental metaphor</w:t>
      </w:r>
      <w:r w:rsidR="000D43D8">
        <w:rPr>
          <w:color w:val="000000" w:themeColor="text1"/>
        </w:rPr>
        <w:t>s</w:t>
      </w:r>
      <w:r w:rsidR="00914C2D" w:rsidRPr="00DC5800">
        <w:rPr>
          <w:color w:val="000000" w:themeColor="text1"/>
        </w:rPr>
        <w:t xml:space="preserve"> </w:t>
      </w:r>
      <w:r w:rsidRPr="00DC5800">
        <w:rPr>
          <w:color w:val="000000" w:themeColor="text1"/>
        </w:rPr>
        <w:t xml:space="preserve">for human </w:t>
      </w:r>
      <w:r w:rsidR="00914C2D" w:rsidRPr="00DC5800">
        <w:rPr>
          <w:color w:val="000000" w:themeColor="text1"/>
        </w:rPr>
        <w:t>connect</w:t>
      </w:r>
      <w:r w:rsidR="00A42DCB" w:rsidRPr="00DC5800">
        <w:rPr>
          <w:color w:val="000000" w:themeColor="text1"/>
        </w:rPr>
        <w:t>edness</w:t>
      </w:r>
      <w:r w:rsidR="00914C2D" w:rsidRPr="00DC5800">
        <w:rPr>
          <w:color w:val="000000" w:themeColor="text1"/>
        </w:rPr>
        <w:t xml:space="preserve"> with the divine. </w:t>
      </w:r>
      <w:r w:rsidR="00A42DCB" w:rsidRPr="00DC5800">
        <w:rPr>
          <w:color w:val="000000" w:themeColor="text1"/>
        </w:rPr>
        <w:t>For Christians, the Eucharistic bread and wine denote the continuing presence of Jesus in the world, whether in sign or reality</w:t>
      </w:r>
      <w:r w:rsidR="006309AB" w:rsidRPr="00DC5800">
        <w:rPr>
          <w:color w:val="000000" w:themeColor="text1"/>
        </w:rPr>
        <w:t>, as is graphically port</w:t>
      </w:r>
      <w:r w:rsidR="00DC5800">
        <w:rPr>
          <w:color w:val="000000" w:themeColor="text1"/>
        </w:rPr>
        <w:t>r</w:t>
      </w:r>
      <w:r w:rsidR="006309AB" w:rsidRPr="00DC5800">
        <w:rPr>
          <w:color w:val="000000" w:themeColor="text1"/>
        </w:rPr>
        <w:t xml:space="preserve">ayed </w:t>
      </w:r>
      <w:r w:rsidR="000D43D8">
        <w:rPr>
          <w:color w:val="000000" w:themeColor="text1"/>
        </w:rPr>
        <w:t>by the Ugolino episode in Dante’s</w:t>
      </w:r>
      <w:r w:rsidR="006309AB" w:rsidRPr="00DC5800">
        <w:rPr>
          <w:color w:val="000000" w:themeColor="text1"/>
        </w:rPr>
        <w:t xml:space="preserve"> </w:t>
      </w:r>
      <w:r w:rsidR="006309AB" w:rsidRPr="00DC5800">
        <w:rPr>
          <w:i/>
          <w:color w:val="000000" w:themeColor="text1"/>
        </w:rPr>
        <w:t>Inferno</w:t>
      </w:r>
      <w:r w:rsidR="00A42DCB" w:rsidRPr="00DC5800">
        <w:rPr>
          <w:color w:val="000000" w:themeColor="text1"/>
        </w:rPr>
        <w:t>.</w:t>
      </w:r>
    </w:p>
    <w:p w14:paraId="602BA687" w14:textId="77777777" w:rsidR="00CC14A0" w:rsidRPr="00DC5800" w:rsidRDefault="00CC14A0" w:rsidP="00B048D3">
      <w:pPr>
        <w:rPr>
          <w:color w:val="000000" w:themeColor="text1"/>
        </w:rPr>
      </w:pPr>
    </w:p>
    <w:p w14:paraId="05A081C2" w14:textId="7DA6E30D" w:rsidR="00B47D13" w:rsidRPr="00DC5800" w:rsidRDefault="00CC14A0" w:rsidP="00B048D3">
      <w:pPr>
        <w:rPr>
          <w:color w:val="000000" w:themeColor="text1"/>
        </w:rPr>
      </w:pPr>
      <w:r w:rsidRPr="00DC5800">
        <w:rPr>
          <w:color w:val="000000" w:themeColor="text1"/>
        </w:rPr>
        <w:t xml:space="preserve">Food, drink, and </w:t>
      </w:r>
      <w:r w:rsidR="00BB3558" w:rsidRPr="00DC5800">
        <w:rPr>
          <w:color w:val="000000" w:themeColor="text1"/>
        </w:rPr>
        <w:t xml:space="preserve">modes of </w:t>
      </w:r>
      <w:r w:rsidRPr="00DC5800">
        <w:rPr>
          <w:color w:val="000000" w:themeColor="text1"/>
        </w:rPr>
        <w:t xml:space="preserve">consumption have been crucial topics </w:t>
      </w:r>
      <w:r w:rsidR="00BB3558" w:rsidRPr="00DC5800">
        <w:rPr>
          <w:color w:val="000000" w:themeColor="text1"/>
        </w:rPr>
        <w:t xml:space="preserve">in many fields and periods. </w:t>
      </w:r>
      <w:r w:rsidR="00DE1E77" w:rsidRPr="00DC5800">
        <w:rPr>
          <w:color w:val="000000" w:themeColor="text1"/>
        </w:rPr>
        <w:t>Plato and Xenophon, for example, considered a symposium the perfect place and time for philosophical inquisitions</w:t>
      </w:r>
      <w:r w:rsidR="006309AB" w:rsidRPr="00DC5800">
        <w:rPr>
          <w:color w:val="000000" w:themeColor="text1"/>
        </w:rPr>
        <w:t>, where the banquet of wisdom could be consumed</w:t>
      </w:r>
      <w:r w:rsidR="00DE1E77" w:rsidRPr="00DC5800">
        <w:rPr>
          <w:color w:val="000000" w:themeColor="text1"/>
        </w:rPr>
        <w:t>.</w:t>
      </w:r>
      <w:r w:rsidR="00DE1E77" w:rsidRPr="00DC5800">
        <w:rPr>
          <w:rFonts w:hint="eastAsia"/>
          <w:color w:val="000000" w:themeColor="text1"/>
        </w:rPr>
        <w:t xml:space="preserve"> </w:t>
      </w:r>
      <w:r w:rsidR="00867D4E" w:rsidRPr="00DC5800">
        <w:rPr>
          <w:color w:val="000000" w:themeColor="text1"/>
        </w:rPr>
        <w:t xml:space="preserve">In </w:t>
      </w:r>
      <w:r w:rsidR="00BB3558" w:rsidRPr="00DC5800">
        <w:rPr>
          <w:color w:val="000000" w:themeColor="text1"/>
        </w:rPr>
        <w:t xml:space="preserve">medieval English romances, banquets and feasts are not only social occasions but also venues where miracles and mysteries happen. In Thomas More’s </w:t>
      </w:r>
      <w:r w:rsidR="00BB3558" w:rsidRPr="00DC5800">
        <w:rPr>
          <w:i/>
          <w:color w:val="000000" w:themeColor="text1"/>
        </w:rPr>
        <w:t>Utopia</w:t>
      </w:r>
      <w:r w:rsidR="00BB3558" w:rsidRPr="00DC5800">
        <w:rPr>
          <w:color w:val="000000" w:themeColor="text1"/>
        </w:rPr>
        <w:t>, t</w:t>
      </w:r>
      <w:r w:rsidR="005B154B" w:rsidRPr="00DC5800">
        <w:rPr>
          <w:color w:val="000000" w:themeColor="text1"/>
        </w:rPr>
        <w:t xml:space="preserve">he moral meanings and ethical implications of diet </w:t>
      </w:r>
      <w:r w:rsidR="006309AB" w:rsidRPr="00DC5800">
        <w:rPr>
          <w:color w:val="000000" w:themeColor="text1"/>
        </w:rPr>
        <w:t xml:space="preserve">are treated in the context of </w:t>
      </w:r>
      <w:r w:rsidR="005B154B" w:rsidRPr="00DC5800">
        <w:rPr>
          <w:color w:val="000000" w:themeColor="text1"/>
        </w:rPr>
        <w:t>the design of the farms and dietary treatises</w:t>
      </w:r>
      <w:r w:rsidR="00BB3558" w:rsidRPr="00DC5800">
        <w:rPr>
          <w:color w:val="000000" w:themeColor="text1"/>
        </w:rPr>
        <w:t>.</w:t>
      </w:r>
      <w:r w:rsidR="005B154B" w:rsidRPr="00DC5800">
        <w:rPr>
          <w:color w:val="000000" w:themeColor="text1"/>
        </w:rPr>
        <w:t xml:space="preserve"> </w:t>
      </w:r>
      <w:r w:rsidR="000A2CE5" w:rsidRPr="00DC5800">
        <w:rPr>
          <w:color w:val="000000" w:themeColor="text1"/>
        </w:rPr>
        <w:t xml:space="preserve">Shakespeare’s </w:t>
      </w:r>
      <w:r w:rsidR="000A2CE5" w:rsidRPr="00DC5800">
        <w:rPr>
          <w:i/>
          <w:color w:val="000000" w:themeColor="text1"/>
        </w:rPr>
        <w:t>The Taming of the Shrew</w:t>
      </w:r>
      <w:r w:rsidR="000A2CE5" w:rsidRPr="00DC5800">
        <w:rPr>
          <w:color w:val="000000" w:themeColor="text1"/>
        </w:rPr>
        <w:t xml:space="preserve"> </w:t>
      </w:r>
      <w:r w:rsidR="000A2CE5" w:rsidRPr="00DC5800">
        <w:rPr>
          <w:rFonts w:hint="eastAsia"/>
          <w:color w:val="000000" w:themeColor="text1"/>
        </w:rPr>
        <w:t xml:space="preserve">shows how </w:t>
      </w:r>
      <w:r w:rsidR="000A2CE5" w:rsidRPr="00DC5800">
        <w:rPr>
          <w:color w:val="000000" w:themeColor="text1"/>
        </w:rPr>
        <w:t xml:space="preserve">food intakes were thought to influence the balance of the four bodily humors when Petruchio denies Katherine meat </w:t>
      </w:r>
      <w:r w:rsidR="00881DA3" w:rsidRPr="00DC5800">
        <w:rPr>
          <w:color w:val="000000" w:themeColor="text1"/>
        </w:rPr>
        <w:t>in an</w:t>
      </w:r>
      <w:r w:rsidR="000A2CE5" w:rsidRPr="00DC5800">
        <w:rPr>
          <w:color w:val="000000" w:themeColor="text1"/>
        </w:rPr>
        <w:t xml:space="preserve"> attempt to quench her </w:t>
      </w:r>
      <w:r w:rsidR="000A2CE5" w:rsidRPr="00DC5800">
        <w:rPr>
          <w:color w:val="000000" w:themeColor="text1"/>
        </w:rPr>
        <w:lastRenderedPageBreak/>
        <w:t xml:space="preserve">feisty temper. </w:t>
      </w:r>
      <w:r w:rsidR="003D612D" w:rsidRPr="00DC5800">
        <w:rPr>
          <w:color w:val="000000" w:themeColor="text1"/>
        </w:rPr>
        <w:t xml:space="preserve">Lady Mary Wroth’s 1621 prose romance </w:t>
      </w:r>
      <w:r w:rsidR="003D612D" w:rsidRPr="00DC5800">
        <w:rPr>
          <w:i/>
          <w:color w:val="000000" w:themeColor="text1"/>
        </w:rPr>
        <w:t>Urania</w:t>
      </w:r>
      <w:r w:rsidR="003D612D" w:rsidRPr="00DC5800">
        <w:rPr>
          <w:color w:val="000000" w:themeColor="text1"/>
        </w:rPr>
        <w:t xml:space="preserve"> reflects the social changes around banqueting with particular reference to the court of King James I.</w:t>
      </w:r>
      <w:r w:rsidR="0005724F" w:rsidRPr="00DC5800">
        <w:rPr>
          <w:rFonts w:hint="eastAsia"/>
          <w:color w:val="000000" w:themeColor="text1"/>
        </w:rPr>
        <w:t xml:space="preserve"> </w:t>
      </w:r>
      <w:r w:rsidR="000A2CE5" w:rsidRPr="00DC5800">
        <w:rPr>
          <w:color w:val="000000" w:themeColor="text1"/>
        </w:rPr>
        <w:t xml:space="preserve">In Ben Jonson’s </w:t>
      </w:r>
      <w:r w:rsidR="000A2CE5" w:rsidRPr="00DC5800">
        <w:rPr>
          <w:i/>
          <w:color w:val="000000" w:themeColor="text1"/>
        </w:rPr>
        <w:t>Volpone</w:t>
      </w:r>
      <w:r w:rsidR="000A2CE5" w:rsidRPr="00DC5800">
        <w:rPr>
          <w:color w:val="000000" w:themeColor="text1"/>
        </w:rPr>
        <w:t xml:space="preserve">, </w:t>
      </w:r>
      <w:r w:rsidR="006D2EB4" w:rsidRPr="00DC5800">
        <w:rPr>
          <w:color w:val="000000" w:themeColor="text1"/>
        </w:rPr>
        <w:t xml:space="preserve">the protagonist’s </w:t>
      </w:r>
      <w:r w:rsidR="000A2CE5" w:rsidRPr="00DC5800">
        <w:rPr>
          <w:color w:val="000000" w:themeColor="text1"/>
        </w:rPr>
        <w:t xml:space="preserve">excessive desire, social abnormality, and moral degeneration is demonstrated by the consumption of parrots, nightingales, peacocks, and </w:t>
      </w:r>
      <w:r w:rsidR="004A3789" w:rsidRPr="00DC5800">
        <w:rPr>
          <w:color w:val="000000" w:themeColor="text1"/>
        </w:rPr>
        <w:t>ostriches</w:t>
      </w:r>
      <w:r w:rsidR="000A2CE5" w:rsidRPr="00DC5800">
        <w:rPr>
          <w:color w:val="000000" w:themeColor="text1"/>
        </w:rPr>
        <w:t xml:space="preserve">. In </w:t>
      </w:r>
      <w:r w:rsidR="006309AB" w:rsidRPr="00DC5800">
        <w:rPr>
          <w:color w:val="000000" w:themeColor="text1"/>
        </w:rPr>
        <w:t xml:space="preserve">the </w:t>
      </w:r>
      <w:r w:rsidR="000A2CE5" w:rsidRPr="00DC5800">
        <w:rPr>
          <w:color w:val="000000" w:themeColor="text1"/>
        </w:rPr>
        <w:t xml:space="preserve">visual arts, food and drink </w:t>
      </w:r>
      <w:r w:rsidR="00B47D13" w:rsidRPr="00DC5800">
        <w:rPr>
          <w:color w:val="000000" w:themeColor="text1"/>
        </w:rPr>
        <w:t xml:space="preserve">also serve as important cultural repositories of numerous allegories and symbols. While </w:t>
      </w:r>
      <w:r w:rsidR="00614C28" w:rsidRPr="00DC5800">
        <w:rPr>
          <w:color w:val="000000" w:themeColor="text1"/>
        </w:rPr>
        <w:t>Cornucopias celebrate</w:t>
      </w:r>
      <w:r w:rsidR="00EE16B9" w:rsidRPr="00DC5800">
        <w:rPr>
          <w:color w:val="000000" w:themeColor="text1"/>
        </w:rPr>
        <w:t xml:space="preserve"> abundance</w:t>
      </w:r>
      <w:r w:rsidR="004D5D8C" w:rsidRPr="00DC5800">
        <w:rPr>
          <w:color w:val="000000" w:themeColor="text1"/>
        </w:rPr>
        <w:t xml:space="preserve"> and</w:t>
      </w:r>
      <w:r w:rsidR="00614C28" w:rsidRPr="00DC5800">
        <w:rPr>
          <w:color w:val="000000" w:themeColor="text1"/>
        </w:rPr>
        <w:t xml:space="preserve"> thanksgiving</w:t>
      </w:r>
      <w:r w:rsidR="00B47D13" w:rsidRPr="00DC5800">
        <w:rPr>
          <w:color w:val="000000" w:themeColor="text1"/>
        </w:rPr>
        <w:t xml:space="preserve">, </w:t>
      </w:r>
      <w:r w:rsidR="008E2BEE" w:rsidRPr="00DC5800">
        <w:rPr>
          <w:color w:val="000000" w:themeColor="text1"/>
        </w:rPr>
        <w:t xml:space="preserve">apples </w:t>
      </w:r>
      <w:r w:rsidR="00B47D13" w:rsidRPr="00DC5800">
        <w:rPr>
          <w:color w:val="000000" w:themeColor="text1"/>
        </w:rPr>
        <w:t xml:space="preserve">in devotional paintings </w:t>
      </w:r>
      <w:r w:rsidR="008E2BEE" w:rsidRPr="00DC5800">
        <w:rPr>
          <w:color w:val="000000" w:themeColor="text1"/>
        </w:rPr>
        <w:t xml:space="preserve">frequently symbolize redemption. </w:t>
      </w:r>
      <w:r w:rsidR="00B47D13" w:rsidRPr="00DC5800">
        <w:rPr>
          <w:color w:val="000000" w:themeColor="text1"/>
        </w:rPr>
        <w:t>Furthermore</w:t>
      </w:r>
      <w:r w:rsidR="000D43D8">
        <w:rPr>
          <w:color w:val="000000" w:themeColor="text1"/>
        </w:rPr>
        <w:t>,</w:t>
      </w:r>
      <w:r w:rsidR="00AD1290" w:rsidRPr="00DC5800">
        <w:rPr>
          <w:color w:val="000000" w:themeColor="text1"/>
        </w:rPr>
        <w:t xml:space="preserve"> in material culture</w:t>
      </w:r>
      <w:r w:rsidR="006309AB" w:rsidRPr="00DC5800">
        <w:rPr>
          <w:color w:val="000000" w:themeColor="text1"/>
        </w:rPr>
        <w:t>, importation of exotic food</w:t>
      </w:r>
      <w:r w:rsidR="00AD1290" w:rsidRPr="00DC5800">
        <w:rPr>
          <w:color w:val="000000" w:themeColor="text1"/>
        </w:rPr>
        <w:t xml:space="preserve"> bore witness to the burgeoning globalization evidenced by frequent international trade and cultural exchange. </w:t>
      </w:r>
      <w:r w:rsidR="004A3789" w:rsidRPr="00DC5800">
        <w:rPr>
          <w:color w:val="000000" w:themeColor="text1"/>
        </w:rPr>
        <w:t>O</w:t>
      </w:r>
      <w:r w:rsidR="00B47D13" w:rsidRPr="00DC5800">
        <w:rPr>
          <w:color w:val="000000" w:themeColor="text1"/>
        </w:rPr>
        <w:t>ranges stood for wealth in regions such as Flanders after being imported from Spain</w:t>
      </w:r>
      <w:r w:rsidR="004A3789" w:rsidRPr="00DC5800">
        <w:rPr>
          <w:color w:val="000000" w:themeColor="text1"/>
        </w:rPr>
        <w:t>, while p</w:t>
      </w:r>
      <w:r w:rsidR="00B47D13" w:rsidRPr="00DC5800">
        <w:rPr>
          <w:color w:val="000000" w:themeColor="text1"/>
        </w:rPr>
        <w:t>ineapples with their crown-like bracts made their way to European furniture and paintings as images of power after being imported from South America.</w:t>
      </w:r>
    </w:p>
    <w:p w14:paraId="799E947D" w14:textId="77777777" w:rsidR="0005724F" w:rsidRPr="00DC5800" w:rsidRDefault="0005724F" w:rsidP="00B048D3">
      <w:pPr>
        <w:rPr>
          <w:color w:val="000000" w:themeColor="text1"/>
        </w:rPr>
      </w:pPr>
    </w:p>
    <w:p w14:paraId="53B37546" w14:textId="066166B5" w:rsidR="00B048D3" w:rsidRPr="00DC5800" w:rsidRDefault="00B048D3" w:rsidP="00B048D3">
      <w:pPr>
        <w:rPr>
          <w:color w:val="000000" w:themeColor="text1"/>
        </w:rPr>
      </w:pPr>
      <w:r w:rsidRPr="00DC5800">
        <w:rPr>
          <w:color w:val="000000" w:themeColor="text1"/>
        </w:rPr>
        <w:t>To explore</w:t>
      </w:r>
      <w:r w:rsidRPr="00DC5800">
        <w:rPr>
          <w:rFonts w:hint="eastAsia"/>
          <w:color w:val="000000" w:themeColor="text1"/>
        </w:rPr>
        <w:t xml:space="preserve"> </w:t>
      </w:r>
      <w:r w:rsidR="00881DA3" w:rsidRPr="00DC5800">
        <w:rPr>
          <w:color w:val="000000" w:themeColor="text1"/>
        </w:rPr>
        <w:t>the important issue</w:t>
      </w:r>
      <w:r w:rsidR="000D43D8">
        <w:rPr>
          <w:color w:val="000000" w:themeColor="text1"/>
        </w:rPr>
        <w:t>s</w:t>
      </w:r>
      <w:r w:rsidR="00881DA3" w:rsidRPr="00DC5800">
        <w:rPr>
          <w:color w:val="000000" w:themeColor="text1"/>
        </w:rPr>
        <w:t xml:space="preserve"> of </w:t>
      </w:r>
      <w:r w:rsidR="0019002E" w:rsidRPr="00DC5800">
        <w:rPr>
          <w:color w:val="000000" w:themeColor="text1"/>
        </w:rPr>
        <w:t>food/drink/consumption</w:t>
      </w:r>
      <w:r w:rsidRPr="00DC5800">
        <w:rPr>
          <w:color w:val="000000" w:themeColor="text1"/>
        </w:rPr>
        <w:t xml:space="preserve">, this conference welcomes papers from scholars working in all fields </w:t>
      </w:r>
      <w:r w:rsidR="004A1A1A" w:rsidRPr="00DC5800">
        <w:rPr>
          <w:color w:val="000000" w:themeColor="text1"/>
        </w:rPr>
        <w:t>such as anthropology, geography, history, literature</w:t>
      </w:r>
      <w:r w:rsidR="005E7ED1" w:rsidRPr="00DC5800">
        <w:rPr>
          <w:color w:val="000000" w:themeColor="text1"/>
        </w:rPr>
        <w:t xml:space="preserve">, art, politics, sociology, </w:t>
      </w:r>
      <w:r w:rsidR="004A1A1A" w:rsidRPr="00DC5800">
        <w:rPr>
          <w:color w:val="000000" w:themeColor="text1"/>
        </w:rPr>
        <w:t>religion</w:t>
      </w:r>
      <w:r w:rsidR="005E7ED1" w:rsidRPr="00DC5800">
        <w:rPr>
          <w:color w:val="000000" w:themeColor="text1"/>
        </w:rPr>
        <w:t>, and cultural studies</w:t>
      </w:r>
      <w:r w:rsidR="004A1A1A" w:rsidRPr="00DC5800">
        <w:rPr>
          <w:color w:val="000000" w:themeColor="text1"/>
        </w:rPr>
        <w:t xml:space="preserve"> </w:t>
      </w:r>
      <w:r w:rsidR="006309AB" w:rsidRPr="00DC5800">
        <w:rPr>
          <w:color w:val="000000" w:themeColor="text1"/>
        </w:rPr>
        <w:t xml:space="preserve">from the </w:t>
      </w:r>
      <w:r w:rsidR="005E7ED1" w:rsidRPr="00DC5800">
        <w:rPr>
          <w:color w:val="000000" w:themeColor="text1"/>
        </w:rPr>
        <w:t>pre</w:t>
      </w:r>
      <w:r w:rsidR="000B6D9F" w:rsidRPr="00DC5800">
        <w:rPr>
          <w:color w:val="000000" w:themeColor="text1"/>
        </w:rPr>
        <w:t>-</w:t>
      </w:r>
      <w:r w:rsidR="005E7ED1" w:rsidRPr="00DC5800">
        <w:rPr>
          <w:color w:val="000000" w:themeColor="text1"/>
        </w:rPr>
        <w:t xml:space="preserve">modern </w:t>
      </w:r>
      <w:r w:rsidR="006309AB" w:rsidRPr="00DC5800">
        <w:rPr>
          <w:color w:val="000000" w:themeColor="text1"/>
        </w:rPr>
        <w:t xml:space="preserve">to the </w:t>
      </w:r>
      <w:r w:rsidR="005E7ED1" w:rsidRPr="00DC5800">
        <w:rPr>
          <w:color w:val="000000" w:themeColor="text1"/>
        </w:rPr>
        <w:t>early modern periods</w:t>
      </w:r>
      <w:r w:rsidRPr="00DC5800">
        <w:rPr>
          <w:color w:val="000000" w:themeColor="text1"/>
        </w:rPr>
        <w:t>.</w:t>
      </w:r>
      <w:r w:rsidR="0019002E" w:rsidRPr="00DC5800">
        <w:rPr>
          <w:color w:val="000000" w:themeColor="text1"/>
        </w:rPr>
        <w:t xml:space="preserve"> </w:t>
      </w:r>
      <w:r w:rsidRPr="00DC5800">
        <w:rPr>
          <w:color w:val="000000" w:themeColor="text1"/>
        </w:rPr>
        <w:t xml:space="preserve">Topics for consideration </w:t>
      </w:r>
      <w:r w:rsidR="006309AB" w:rsidRPr="00DC5800">
        <w:rPr>
          <w:color w:val="000000" w:themeColor="text1"/>
        </w:rPr>
        <w:t xml:space="preserve">might </w:t>
      </w:r>
      <w:r w:rsidRPr="00DC5800">
        <w:rPr>
          <w:color w:val="000000" w:themeColor="text1"/>
        </w:rPr>
        <w:t>include (but are not limited to):</w:t>
      </w:r>
    </w:p>
    <w:p w14:paraId="26A6CDA1" w14:textId="77777777" w:rsidR="006309AB" w:rsidRPr="00DC5800" w:rsidRDefault="006309AB" w:rsidP="00B048D3">
      <w:pPr>
        <w:rPr>
          <w:color w:val="000000" w:themeColor="text1"/>
        </w:rPr>
      </w:pPr>
    </w:p>
    <w:p w14:paraId="0C60CEE5" w14:textId="2994E7D5" w:rsidR="00DC5800" w:rsidRDefault="00DC5800" w:rsidP="00B048D3">
      <w:pPr>
        <w:ind w:firstLine="480"/>
        <w:rPr>
          <w:color w:val="000000" w:themeColor="text1"/>
        </w:rPr>
      </w:pPr>
      <w:r>
        <w:rPr>
          <w:rFonts w:hint="eastAsia"/>
          <w:color w:val="000000" w:themeColor="text1"/>
        </w:rPr>
        <w:t>Art and Visualization of food/drink/consumption</w:t>
      </w:r>
    </w:p>
    <w:p w14:paraId="682B731A" w14:textId="494F9054" w:rsidR="000B6D9F" w:rsidRPr="00DC5800" w:rsidRDefault="000B6D9F" w:rsidP="00B048D3">
      <w:pPr>
        <w:ind w:firstLine="480"/>
        <w:rPr>
          <w:color w:val="000000" w:themeColor="text1"/>
        </w:rPr>
      </w:pPr>
      <w:r w:rsidRPr="00DC5800">
        <w:rPr>
          <w:color w:val="000000" w:themeColor="text1"/>
        </w:rPr>
        <w:t xml:space="preserve">Boundaries of the edible and nonedible </w:t>
      </w:r>
    </w:p>
    <w:p w14:paraId="65EB8F93" w14:textId="77777777" w:rsidR="00B048D3" w:rsidRPr="00DC5800" w:rsidRDefault="00B048D3" w:rsidP="00B048D3">
      <w:pPr>
        <w:ind w:firstLine="480"/>
        <w:rPr>
          <w:color w:val="000000" w:themeColor="text1"/>
        </w:rPr>
      </w:pPr>
      <w:r w:rsidRPr="00DC5800">
        <w:rPr>
          <w:color w:val="000000" w:themeColor="text1"/>
        </w:rPr>
        <w:t xml:space="preserve">Critical explorations </w:t>
      </w:r>
      <w:r w:rsidR="00A977B2" w:rsidRPr="00DC5800">
        <w:rPr>
          <w:color w:val="000000" w:themeColor="text1"/>
        </w:rPr>
        <w:t xml:space="preserve">of </w:t>
      </w:r>
      <w:r w:rsidR="00FD2552" w:rsidRPr="00DC5800">
        <w:rPr>
          <w:color w:val="000000" w:themeColor="text1"/>
        </w:rPr>
        <w:t>food/drink/consumption</w:t>
      </w:r>
    </w:p>
    <w:p w14:paraId="18EFE028" w14:textId="77777777" w:rsidR="00294C3C" w:rsidRPr="00DC5800" w:rsidRDefault="00294C3C" w:rsidP="00B048D3">
      <w:pPr>
        <w:ind w:firstLine="480"/>
        <w:rPr>
          <w:color w:val="000000" w:themeColor="text1"/>
        </w:rPr>
      </w:pPr>
      <w:r w:rsidRPr="00DC5800">
        <w:rPr>
          <w:color w:val="000000" w:themeColor="text1"/>
        </w:rPr>
        <w:t>Culinary writings</w:t>
      </w:r>
    </w:p>
    <w:p w14:paraId="45772BA2" w14:textId="77777777" w:rsidR="000B6D9F" w:rsidRPr="00DC5800" w:rsidRDefault="000B6D9F" w:rsidP="00B048D3">
      <w:pPr>
        <w:ind w:firstLine="480"/>
        <w:rPr>
          <w:color w:val="000000" w:themeColor="text1"/>
        </w:rPr>
      </w:pPr>
      <w:r w:rsidRPr="00DC5800">
        <w:rPr>
          <w:color w:val="000000" w:themeColor="text1"/>
        </w:rPr>
        <w:t xml:space="preserve">Politics of food/drink/consumption </w:t>
      </w:r>
    </w:p>
    <w:p w14:paraId="07D1BC2C" w14:textId="5408F73C" w:rsidR="00B048D3" w:rsidRPr="00DC5800" w:rsidRDefault="00DC5800" w:rsidP="00B048D3">
      <w:pPr>
        <w:ind w:firstLine="48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Religion, Heresy, </w:t>
      </w:r>
      <w:r w:rsidR="00BE71F3">
        <w:rPr>
          <w:color w:val="000000" w:themeColor="text1"/>
        </w:rPr>
        <w:t xml:space="preserve">or </w:t>
      </w:r>
      <w:r>
        <w:rPr>
          <w:rFonts w:hint="eastAsia"/>
          <w:color w:val="000000" w:themeColor="text1"/>
        </w:rPr>
        <w:t xml:space="preserve">the </w:t>
      </w:r>
      <w:r w:rsidR="00220FC5">
        <w:rPr>
          <w:color w:val="000000" w:themeColor="text1"/>
        </w:rPr>
        <w:t>Sacred F</w:t>
      </w:r>
      <w:r>
        <w:rPr>
          <w:color w:val="000000" w:themeColor="text1"/>
        </w:rPr>
        <w:t xml:space="preserve">orms of </w:t>
      </w:r>
      <w:r w:rsidR="00FD2552" w:rsidRPr="00DC5800">
        <w:rPr>
          <w:color w:val="000000" w:themeColor="text1"/>
        </w:rPr>
        <w:t>food/drink</w:t>
      </w:r>
      <w:r w:rsidR="0019002E" w:rsidRPr="00DC5800">
        <w:rPr>
          <w:color w:val="000000" w:themeColor="text1"/>
        </w:rPr>
        <w:t>/consumption</w:t>
      </w:r>
    </w:p>
    <w:p w14:paraId="24BB17C0" w14:textId="17523B20" w:rsidR="00DC5800" w:rsidRDefault="00220FC5" w:rsidP="00B048D3">
      <w:pPr>
        <w:ind w:firstLine="480"/>
        <w:rPr>
          <w:color w:val="000000" w:themeColor="text1"/>
        </w:rPr>
      </w:pPr>
      <w:r>
        <w:rPr>
          <w:color w:val="000000" w:themeColor="text1"/>
        </w:rPr>
        <w:t xml:space="preserve">Food/drink/consumption and Fasting, </w:t>
      </w:r>
      <w:r w:rsidR="00DC5800">
        <w:rPr>
          <w:rFonts w:hint="eastAsia"/>
          <w:color w:val="000000" w:themeColor="text1"/>
        </w:rPr>
        <w:t xml:space="preserve">Festivity, </w:t>
      </w:r>
      <w:r>
        <w:rPr>
          <w:color w:val="000000" w:themeColor="text1"/>
        </w:rPr>
        <w:t xml:space="preserve">or Medicine </w:t>
      </w:r>
    </w:p>
    <w:p w14:paraId="15CA7ADD" w14:textId="1C4B62E9" w:rsidR="00B048D3" w:rsidRPr="00DC5800" w:rsidRDefault="00FD2552" w:rsidP="00B048D3">
      <w:pPr>
        <w:ind w:firstLine="480"/>
        <w:rPr>
          <w:color w:val="000000" w:themeColor="text1"/>
        </w:rPr>
      </w:pPr>
      <w:r w:rsidRPr="00DC5800">
        <w:rPr>
          <w:color w:val="000000" w:themeColor="text1"/>
        </w:rPr>
        <w:t>Food/drink</w:t>
      </w:r>
      <w:r w:rsidR="0019002E" w:rsidRPr="00DC5800">
        <w:rPr>
          <w:color w:val="000000" w:themeColor="text1"/>
        </w:rPr>
        <w:t>/consumption</w:t>
      </w:r>
      <w:r w:rsidRPr="00DC5800">
        <w:rPr>
          <w:color w:val="000000" w:themeColor="text1"/>
        </w:rPr>
        <w:t xml:space="preserve"> </w:t>
      </w:r>
      <w:r w:rsidR="00B048D3" w:rsidRPr="00DC5800">
        <w:rPr>
          <w:color w:val="000000" w:themeColor="text1"/>
        </w:rPr>
        <w:t xml:space="preserve">and </w:t>
      </w:r>
      <w:r w:rsidR="00220FC5">
        <w:rPr>
          <w:color w:val="000000" w:themeColor="text1"/>
        </w:rPr>
        <w:t>E</w:t>
      </w:r>
      <w:r w:rsidR="00B048D3" w:rsidRPr="00DC5800">
        <w:rPr>
          <w:color w:val="000000" w:themeColor="text1"/>
        </w:rPr>
        <w:t>motions</w:t>
      </w:r>
      <w:r w:rsidR="00220FC5">
        <w:rPr>
          <w:color w:val="000000" w:themeColor="text1"/>
        </w:rPr>
        <w:t xml:space="preserve">, </w:t>
      </w:r>
      <w:r w:rsidR="006945A6">
        <w:rPr>
          <w:color w:val="000000" w:themeColor="text1"/>
        </w:rPr>
        <w:t xml:space="preserve">Obsessions, or </w:t>
      </w:r>
      <w:r w:rsidR="00220FC5">
        <w:rPr>
          <w:color w:val="000000" w:themeColor="text1"/>
        </w:rPr>
        <w:t>Language</w:t>
      </w:r>
    </w:p>
    <w:p w14:paraId="65344945" w14:textId="13103E12" w:rsidR="00B048D3" w:rsidRPr="00DC5800" w:rsidRDefault="00FD2552" w:rsidP="00B048D3">
      <w:pPr>
        <w:ind w:firstLine="480"/>
        <w:rPr>
          <w:color w:val="000000" w:themeColor="text1"/>
        </w:rPr>
      </w:pPr>
      <w:r w:rsidRPr="00DC5800">
        <w:rPr>
          <w:color w:val="000000" w:themeColor="text1"/>
        </w:rPr>
        <w:t>Food/drink</w:t>
      </w:r>
      <w:r w:rsidR="0019002E" w:rsidRPr="00DC5800">
        <w:rPr>
          <w:color w:val="000000" w:themeColor="text1"/>
        </w:rPr>
        <w:t>/consumption</w:t>
      </w:r>
      <w:r w:rsidRPr="00DC5800">
        <w:rPr>
          <w:color w:val="000000" w:themeColor="text1"/>
        </w:rPr>
        <w:t xml:space="preserve"> </w:t>
      </w:r>
      <w:r w:rsidR="00B048D3" w:rsidRPr="00DC5800">
        <w:rPr>
          <w:color w:val="000000" w:themeColor="text1"/>
        </w:rPr>
        <w:t xml:space="preserve">and </w:t>
      </w:r>
      <w:r w:rsidR="00220FC5">
        <w:rPr>
          <w:color w:val="000000" w:themeColor="text1"/>
        </w:rPr>
        <w:t>G</w:t>
      </w:r>
      <w:r w:rsidR="00B048D3" w:rsidRPr="00DC5800">
        <w:rPr>
          <w:color w:val="000000" w:themeColor="text1"/>
        </w:rPr>
        <w:t>ender</w:t>
      </w:r>
      <w:r w:rsidR="00220FC5">
        <w:rPr>
          <w:color w:val="000000" w:themeColor="text1"/>
        </w:rPr>
        <w:t>, Racial Identity, or Society</w:t>
      </w:r>
    </w:p>
    <w:p w14:paraId="3E988753" w14:textId="5CB627FB" w:rsidR="00220FC5" w:rsidRDefault="00220FC5" w:rsidP="00B048D3">
      <w:pPr>
        <w:ind w:firstLine="480"/>
        <w:rPr>
          <w:color w:val="000000" w:themeColor="text1"/>
        </w:rPr>
      </w:pPr>
      <w:r w:rsidRPr="00220FC5">
        <w:rPr>
          <w:color w:val="000000" w:themeColor="text1"/>
        </w:rPr>
        <w:t xml:space="preserve">Food/drink/consumption and the </w:t>
      </w:r>
      <w:r w:rsidR="006945A6">
        <w:rPr>
          <w:color w:val="000000" w:themeColor="text1"/>
        </w:rPr>
        <w:t>Moralistic/L</w:t>
      </w:r>
      <w:r w:rsidRPr="00220FC5">
        <w:rPr>
          <w:color w:val="000000" w:themeColor="text1"/>
        </w:rPr>
        <w:t>egislative</w:t>
      </w:r>
    </w:p>
    <w:p w14:paraId="6D2C7A3E" w14:textId="2CC3AE0F" w:rsidR="003B02BD" w:rsidRDefault="003B02BD" w:rsidP="00B048D3">
      <w:pPr>
        <w:ind w:firstLine="480"/>
        <w:rPr>
          <w:color w:val="000000" w:themeColor="text1"/>
        </w:rPr>
      </w:pPr>
      <w:r w:rsidRPr="00DC5800">
        <w:rPr>
          <w:color w:val="000000" w:themeColor="text1"/>
        </w:rPr>
        <w:t>Food/drink/consumption</w:t>
      </w:r>
      <w:r w:rsidRPr="00DC5800">
        <w:rPr>
          <w:rFonts w:hint="eastAsia"/>
          <w:color w:val="000000" w:themeColor="text1"/>
        </w:rPr>
        <w:t xml:space="preserve"> </w:t>
      </w:r>
      <w:r w:rsidR="00220FC5">
        <w:rPr>
          <w:color w:val="000000" w:themeColor="text1"/>
        </w:rPr>
        <w:t xml:space="preserve">and </w:t>
      </w:r>
      <w:r w:rsidR="006945A6">
        <w:rPr>
          <w:color w:val="000000" w:themeColor="text1"/>
        </w:rPr>
        <w:t xml:space="preserve">Ecology, </w:t>
      </w:r>
      <w:r w:rsidR="00220FC5">
        <w:rPr>
          <w:color w:val="000000" w:themeColor="text1"/>
        </w:rPr>
        <w:t>P</w:t>
      </w:r>
      <w:r w:rsidRPr="00DC5800">
        <w:rPr>
          <w:rFonts w:hint="eastAsia"/>
          <w:color w:val="000000" w:themeColor="text1"/>
        </w:rPr>
        <w:t>hilosophy</w:t>
      </w:r>
      <w:r w:rsidR="00220FC5">
        <w:rPr>
          <w:color w:val="000000" w:themeColor="text1"/>
        </w:rPr>
        <w:t xml:space="preserve">, </w:t>
      </w:r>
      <w:r w:rsidR="006945A6">
        <w:rPr>
          <w:color w:val="000000" w:themeColor="text1"/>
        </w:rPr>
        <w:t>or Theology</w:t>
      </w:r>
    </w:p>
    <w:p w14:paraId="69F94F49" w14:textId="0260B2AA" w:rsidR="00E32900" w:rsidRPr="00E32900" w:rsidRDefault="00E32900" w:rsidP="00E32900">
      <w:pPr>
        <w:ind w:firstLine="480"/>
        <w:rPr>
          <w:color w:val="000000" w:themeColor="text1"/>
        </w:rPr>
      </w:pPr>
      <w:r w:rsidRPr="00E32900">
        <w:rPr>
          <w:color w:val="000000" w:themeColor="text1"/>
        </w:rPr>
        <w:t>Food/drink/consumption and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Medievalism or Technology</w:t>
      </w:r>
    </w:p>
    <w:p w14:paraId="6361755A" w14:textId="77777777" w:rsidR="00B048D3" w:rsidRPr="00E32900" w:rsidRDefault="00B048D3" w:rsidP="00B048D3">
      <w:pPr>
        <w:ind w:firstLine="480"/>
        <w:rPr>
          <w:color w:val="000000" w:themeColor="text1"/>
        </w:rPr>
      </w:pPr>
    </w:p>
    <w:p w14:paraId="2CDFF8A7" w14:textId="66EAB345" w:rsidR="00724B40" w:rsidRPr="00DC5800" w:rsidRDefault="008673E2" w:rsidP="00483860">
      <w:pPr>
        <w:rPr>
          <w:color w:val="000000" w:themeColor="text1"/>
        </w:rPr>
      </w:pPr>
      <w:r w:rsidRPr="00DC5800">
        <w:rPr>
          <w:color w:val="000000" w:themeColor="text1"/>
        </w:rPr>
        <w:t xml:space="preserve">TACMRS warmly invites papers </w:t>
      </w:r>
      <w:r w:rsidR="003B02BD" w:rsidRPr="00DC5800">
        <w:rPr>
          <w:color w:val="000000" w:themeColor="text1"/>
        </w:rPr>
        <w:t xml:space="preserve">either </w:t>
      </w:r>
      <w:r w:rsidR="00FC327A" w:rsidRPr="00DC5800">
        <w:rPr>
          <w:color w:val="000000" w:themeColor="text1"/>
        </w:rPr>
        <w:t xml:space="preserve">in English </w:t>
      </w:r>
      <w:r w:rsidR="006945A6">
        <w:rPr>
          <w:color w:val="000000" w:themeColor="text1"/>
        </w:rPr>
        <w:t>or</w:t>
      </w:r>
      <w:r w:rsidR="003B02BD" w:rsidRPr="00DC5800">
        <w:rPr>
          <w:color w:val="000000" w:themeColor="text1"/>
        </w:rPr>
        <w:t xml:space="preserve"> Chinese </w:t>
      </w:r>
      <w:r w:rsidR="00B048D3" w:rsidRPr="00DC5800">
        <w:rPr>
          <w:color w:val="000000" w:themeColor="text1"/>
        </w:rPr>
        <w:t xml:space="preserve">that reach beyond the traditional chronological and disciplinary borders of Classical, Medieval, and </w:t>
      </w:r>
      <w:r w:rsidR="004A3789" w:rsidRPr="00DC5800">
        <w:rPr>
          <w:color w:val="000000" w:themeColor="text1"/>
        </w:rPr>
        <w:t>Early Modern</w:t>
      </w:r>
      <w:r w:rsidR="00B048D3" w:rsidRPr="00DC5800">
        <w:rPr>
          <w:color w:val="000000" w:themeColor="text1"/>
        </w:rPr>
        <w:t xml:space="preserve"> Studies. </w:t>
      </w:r>
      <w:r w:rsidR="00C87038" w:rsidRPr="00DC5800">
        <w:rPr>
          <w:color w:val="000000" w:themeColor="text1"/>
        </w:rPr>
        <w:t xml:space="preserve">This conference will </w:t>
      </w:r>
      <w:r w:rsidR="00FC327A" w:rsidRPr="00DC5800">
        <w:rPr>
          <w:color w:val="000000" w:themeColor="text1"/>
        </w:rPr>
        <w:t xml:space="preserve">comprise </w:t>
      </w:r>
      <w:r w:rsidR="00C87038" w:rsidRPr="00DC5800">
        <w:rPr>
          <w:color w:val="000000" w:themeColor="text1"/>
        </w:rPr>
        <w:t>Paper sessions</w:t>
      </w:r>
      <w:r w:rsidR="00FC327A" w:rsidRPr="00DC5800">
        <w:rPr>
          <w:color w:val="000000" w:themeColor="text1"/>
        </w:rPr>
        <w:t xml:space="preserve"> and a Roundtable discussion for pedagogy. </w:t>
      </w:r>
      <w:r w:rsidR="003B02BD" w:rsidRPr="00DC5800">
        <w:rPr>
          <w:color w:val="000000" w:themeColor="text1"/>
        </w:rPr>
        <w:t xml:space="preserve">Paper proposals and sponsored panel proposals (with individual paper abstracts) are welcomed. </w:t>
      </w:r>
      <w:r w:rsidR="00FC327A" w:rsidRPr="00DC5800">
        <w:rPr>
          <w:color w:val="000000" w:themeColor="text1"/>
        </w:rPr>
        <w:t xml:space="preserve">To ensure the quality of the papers presented, the presenters </w:t>
      </w:r>
      <w:r w:rsidR="00A64607" w:rsidRPr="00DC5800">
        <w:rPr>
          <w:color w:val="000000" w:themeColor="text1"/>
        </w:rPr>
        <w:t xml:space="preserve">should </w:t>
      </w:r>
      <w:r w:rsidR="00FC327A" w:rsidRPr="00DC5800">
        <w:rPr>
          <w:color w:val="000000" w:themeColor="text1"/>
        </w:rPr>
        <w:t xml:space="preserve">submit </w:t>
      </w:r>
      <w:r w:rsidR="003B02BD" w:rsidRPr="00DC5800">
        <w:rPr>
          <w:color w:val="000000" w:themeColor="text1"/>
        </w:rPr>
        <w:t xml:space="preserve">drafts of </w:t>
      </w:r>
      <w:r w:rsidR="00FC327A" w:rsidRPr="00DC5800">
        <w:rPr>
          <w:color w:val="000000" w:themeColor="text1"/>
        </w:rPr>
        <w:t>full papers by the end of August 2020</w:t>
      </w:r>
      <w:r w:rsidR="00724B40" w:rsidRPr="00DC5800">
        <w:rPr>
          <w:rFonts w:hint="eastAsia"/>
          <w:color w:val="000000" w:themeColor="text1"/>
        </w:rPr>
        <w:t>.</w:t>
      </w:r>
      <w:r w:rsidR="006945A6" w:rsidRPr="006945A6">
        <w:rPr>
          <w:rFonts w:hint="eastAsia"/>
          <w:color w:val="000000" w:themeColor="text1"/>
        </w:rPr>
        <w:t xml:space="preserve"> </w:t>
      </w:r>
      <w:r w:rsidR="00724B40" w:rsidRPr="00DC5800">
        <w:rPr>
          <w:rFonts w:hint="eastAsia"/>
          <w:color w:val="000000" w:themeColor="text1"/>
        </w:rPr>
        <w:t xml:space="preserve">Selected full papers will </w:t>
      </w:r>
      <w:r w:rsidR="00724B40" w:rsidRPr="00DC5800">
        <w:rPr>
          <w:color w:val="000000" w:themeColor="text1"/>
        </w:rPr>
        <w:t>be</w:t>
      </w:r>
      <w:r w:rsidR="00724B40" w:rsidRPr="00DC5800">
        <w:rPr>
          <w:rFonts w:hint="eastAsia"/>
          <w:color w:val="000000" w:themeColor="text1"/>
        </w:rPr>
        <w:t xml:space="preserve"> </w:t>
      </w:r>
      <w:r w:rsidR="00724B40" w:rsidRPr="00DC5800">
        <w:rPr>
          <w:color w:val="000000" w:themeColor="text1"/>
        </w:rPr>
        <w:t>pe</w:t>
      </w:r>
      <w:r w:rsidR="00724B40" w:rsidRPr="00DC5800">
        <w:rPr>
          <w:rFonts w:hint="eastAsia"/>
          <w:color w:val="000000" w:themeColor="text1"/>
        </w:rPr>
        <w:t>e</w:t>
      </w:r>
      <w:r w:rsidR="00724B40" w:rsidRPr="00DC5800">
        <w:rPr>
          <w:color w:val="000000" w:themeColor="text1"/>
        </w:rPr>
        <w:t>r</w:t>
      </w:r>
      <w:r w:rsidR="00724B40" w:rsidRPr="00DC5800">
        <w:rPr>
          <w:rFonts w:hint="eastAsia"/>
          <w:color w:val="000000" w:themeColor="text1"/>
        </w:rPr>
        <w:t xml:space="preserve">-reviewed and published in a special issue of </w:t>
      </w:r>
      <w:r w:rsidR="00724B40" w:rsidRPr="00DC5800">
        <w:rPr>
          <w:rFonts w:hint="eastAsia"/>
          <w:i/>
          <w:color w:val="000000" w:themeColor="text1"/>
        </w:rPr>
        <w:t>Ex</w:t>
      </w:r>
      <w:r w:rsidR="00B634C1">
        <w:rPr>
          <w:i/>
          <w:color w:val="000000" w:themeColor="text1"/>
        </w:rPr>
        <w:t>-</w:t>
      </w:r>
      <w:r w:rsidR="00724B40" w:rsidRPr="00DC5800">
        <w:rPr>
          <w:rFonts w:hint="eastAsia"/>
          <w:i/>
          <w:color w:val="000000" w:themeColor="text1"/>
        </w:rPr>
        <w:t>position</w:t>
      </w:r>
      <w:r w:rsidR="00724B40" w:rsidRPr="00DC5800">
        <w:rPr>
          <w:rFonts w:hint="eastAsia"/>
          <w:color w:val="000000" w:themeColor="text1"/>
        </w:rPr>
        <w:t>.</w:t>
      </w:r>
    </w:p>
    <w:p w14:paraId="2752FB48" w14:textId="77777777" w:rsidR="00724B40" w:rsidRPr="00DC5800" w:rsidRDefault="00724B40" w:rsidP="00483860">
      <w:pPr>
        <w:rPr>
          <w:color w:val="000000" w:themeColor="text1"/>
        </w:rPr>
      </w:pPr>
    </w:p>
    <w:p w14:paraId="357EC01D" w14:textId="7B307975" w:rsidR="00B048D3" w:rsidRPr="00DC5800" w:rsidRDefault="00B048D3" w:rsidP="00483860">
      <w:pPr>
        <w:rPr>
          <w:color w:val="000000" w:themeColor="text1"/>
        </w:rPr>
      </w:pPr>
      <w:r w:rsidRPr="00DC5800">
        <w:rPr>
          <w:b/>
          <w:color w:val="000000" w:themeColor="text1"/>
        </w:rPr>
        <w:t>Please submit proposals</w:t>
      </w:r>
      <w:r w:rsidR="00FD2552" w:rsidRPr="00DC5800">
        <w:rPr>
          <w:b/>
          <w:color w:val="000000" w:themeColor="text1"/>
        </w:rPr>
        <w:t xml:space="preserve"> </w:t>
      </w:r>
      <w:r w:rsidRPr="00DC5800">
        <w:rPr>
          <w:b/>
          <w:color w:val="000000" w:themeColor="text1"/>
        </w:rPr>
        <w:t>(250 words</w:t>
      </w:r>
      <w:r w:rsidR="00B634C1">
        <w:rPr>
          <w:b/>
          <w:color w:val="000000" w:themeColor="text1"/>
        </w:rPr>
        <w:t xml:space="preserve"> for English, 500 words for Chinese</w:t>
      </w:r>
      <w:r w:rsidRPr="00DC5800">
        <w:rPr>
          <w:b/>
          <w:color w:val="000000" w:themeColor="text1"/>
        </w:rPr>
        <w:t xml:space="preserve">) along with a one-page CV to </w:t>
      </w:r>
      <w:hyperlink r:id="rId7" w:history="1">
        <w:r w:rsidR="00600B78" w:rsidRPr="00545F76">
          <w:rPr>
            <w:rStyle w:val="a7"/>
            <w:b/>
          </w:rPr>
          <w:t>tacmrs.ntu@gmail.com</w:t>
        </w:r>
      </w:hyperlink>
      <w:r w:rsidRPr="00DC5800">
        <w:rPr>
          <w:b/>
          <w:color w:val="000000" w:themeColor="text1"/>
        </w:rPr>
        <w:t xml:space="preserve"> by </w:t>
      </w:r>
      <w:r w:rsidR="00E63F2C" w:rsidRPr="00E63F2C">
        <w:rPr>
          <w:b/>
          <w:color w:val="000000" w:themeColor="text1"/>
          <w:u w:val="single"/>
        </w:rPr>
        <w:t>10 Feb</w:t>
      </w:r>
      <w:r w:rsidR="006F6B3A">
        <w:rPr>
          <w:b/>
          <w:color w:val="000000" w:themeColor="text1"/>
          <w:u w:val="single"/>
        </w:rPr>
        <w:t>r</w:t>
      </w:r>
      <w:r w:rsidR="00E63F2C" w:rsidRPr="00E63F2C">
        <w:rPr>
          <w:b/>
          <w:color w:val="000000" w:themeColor="text1"/>
          <w:u w:val="single"/>
        </w:rPr>
        <w:t>uary</w:t>
      </w:r>
      <w:r w:rsidR="00FD2552" w:rsidRPr="00E63F2C">
        <w:rPr>
          <w:b/>
          <w:color w:val="000000" w:themeColor="text1"/>
          <w:u w:val="single"/>
        </w:rPr>
        <w:t xml:space="preserve"> 2020</w:t>
      </w:r>
      <w:r w:rsidRPr="00DC5800">
        <w:rPr>
          <w:b/>
          <w:color w:val="000000" w:themeColor="text1"/>
        </w:rPr>
        <w:t>. The Conference will take place on 23-24 October 20</w:t>
      </w:r>
      <w:r w:rsidR="00FD2552" w:rsidRPr="00DC5800">
        <w:rPr>
          <w:b/>
          <w:color w:val="000000" w:themeColor="text1"/>
        </w:rPr>
        <w:t>20</w:t>
      </w:r>
      <w:r w:rsidRPr="00DC5800">
        <w:rPr>
          <w:b/>
          <w:color w:val="000000" w:themeColor="text1"/>
        </w:rPr>
        <w:t xml:space="preserve"> at National Taiwan University in Taipei, Taiwan.</w:t>
      </w:r>
      <w:r w:rsidRPr="00DC5800">
        <w:rPr>
          <w:rFonts w:hint="eastAsia"/>
          <w:b/>
          <w:color w:val="000000" w:themeColor="text1"/>
        </w:rPr>
        <w:t xml:space="preserve"> </w:t>
      </w:r>
      <w:r w:rsidR="00565D72" w:rsidRPr="00565D72">
        <w:rPr>
          <w:color w:val="000000" w:themeColor="text1"/>
        </w:rPr>
        <w:t>There is n</w:t>
      </w:r>
      <w:r w:rsidR="00565D72">
        <w:rPr>
          <w:color w:val="000000" w:themeColor="text1"/>
        </w:rPr>
        <w:t>o registration fee for the confere</w:t>
      </w:r>
      <w:bookmarkStart w:id="0" w:name="_GoBack"/>
      <w:bookmarkEnd w:id="0"/>
      <w:r w:rsidR="00565D72">
        <w:rPr>
          <w:color w:val="000000" w:themeColor="text1"/>
        </w:rPr>
        <w:t xml:space="preserve">nce. </w:t>
      </w:r>
      <w:r w:rsidR="003B02BD" w:rsidRPr="00DC5800">
        <w:rPr>
          <w:color w:val="000000" w:themeColor="text1"/>
        </w:rPr>
        <w:t>Please note, p</w:t>
      </w:r>
      <w:r w:rsidR="000B6D9F" w:rsidRPr="00DC5800">
        <w:rPr>
          <w:color w:val="000000" w:themeColor="text1"/>
        </w:rPr>
        <w:t xml:space="preserve">resenters </w:t>
      </w:r>
      <w:r w:rsidR="003B02BD" w:rsidRPr="00DC5800">
        <w:rPr>
          <w:color w:val="000000" w:themeColor="text1"/>
        </w:rPr>
        <w:t xml:space="preserve">should </w:t>
      </w:r>
      <w:r w:rsidR="000B6D9F" w:rsidRPr="00DC5800">
        <w:rPr>
          <w:color w:val="000000" w:themeColor="text1"/>
        </w:rPr>
        <w:t xml:space="preserve">be members of TACMRS if </w:t>
      </w:r>
      <w:r w:rsidR="007838F1" w:rsidRPr="00DC5800">
        <w:rPr>
          <w:color w:val="000000" w:themeColor="text1"/>
        </w:rPr>
        <w:t>they reside in Taiwan.</w:t>
      </w:r>
      <w:r w:rsidR="00483860" w:rsidRPr="00DC5800">
        <w:rPr>
          <w:rFonts w:hint="eastAsia"/>
          <w:color w:val="000000" w:themeColor="text1"/>
        </w:rPr>
        <w:t xml:space="preserve"> Membership application form</w:t>
      </w:r>
      <w:r w:rsidR="00220FC5">
        <w:rPr>
          <w:color w:val="000000" w:themeColor="text1"/>
        </w:rPr>
        <w:t>s</w:t>
      </w:r>
      <w:r w:rsidR="00483860" w:rsidRPr="00DC5800">
        <w:rPr>
          <w:rFonts w:hint="eastAsia"/>
          <w:color w:val="000000" w:themeColor="text1"/>
        </w:rPr>
        <w:t xml:space="preserve"> can be downloaded from </w:t>
      </w:r>
      <w:r w:rsidR="00A64607" w:rsidRPr="00DC5800">
        <w:rPr>
          <w:color w:val="000000" w:themeColor="text1"/>
        </w:rPr>
        <w:t xml:space="preserve">the </w:t>
      </w:r>
      <w:r w:rsidR="00AB4C6B" w:rsidRPr="00DC5800">
        <w:rPr>
          <w:rFonts w:hint="eastAsia"/>
          <w:color w:val="000000" w:themeColor="text1"/>
        </w:rPr>
        <w:t xml:space="preserve">TACMRS website or via email upon request. </w:t>
      </w:r>
      <w:r w:rsidRPr="00DC5800">
        <w:rPr>
          <w:color w:val="000000" w:themeColor="text1"/>
        </w:rPr>
        <w:t>For more information, please visit the 20</w:t>
      </w:r>
      <w:r w:rsidR="00FD2552" w:rsidRPr="00DC5800">
        <w:rPr>
          <w:color w:val="000000" w:themeColor="text1"/>
        </w:rPr>
        <w:t>20</w:t>
      </w:r>
      <w:r w:rsidRPr="00DC5800">
        <w:rPr>
          <w:color w:val="000000" w:themeColor="text1"/>
        </w:rPr>
        <w:t xml:space="preserve"> TACMRS Conference website</w:t>
      </w:r>
      <w:r w:rsidR="00724B40" w:rsidRPr="00DC5800">
        <w:rPr>
          <w:rFonts w:hint="eastAsia"/>
          <w:color w:val="000000" w:themeColor="text1"/>
        </w:rPr>
        <w:t xml:space="preserve"> at</w:t>
      </w:r>
      <w:r w:rsidR="00CE5F69" w:rsidRPr="00DC5800">
        <w:rPr>
          <w:color w:val="000000" w:themeColor="text1"/>
        </w:rPr>
        <w:t xml:space="preserve"> </w:t>
      </w:r>
      <w:hyperlink r:id="rId8" w:history="1">
        <w:r w:rsidR="00BE71F3" w:rsidRPr="00D37EE5">
          <w:rPr>
            <w:rStyle w:val="a7"/>
          </w:rPr>
          <w:t>https://2020tacmrs.wordpress.com/</w:t>
        </w:r>
      </w:hyperlink>
      <w:r w:rsidR="00BE71F3">
        <w:rPr>
          <w:color w:val="000000" w:themeColor="text1"/>
        </w:rPr>
        <w:t xml:space="preserve"> </w:t>
      </w:r>
      <w:r w:rsidR="00483860" w:rsidRPr="00DC5800">
        <w:rPr>
          <w:rFonts w:hint="eastAsia"/>
          <w:color w:val="000000" w:themeColor="text1"/>
        </w:rPr>
        <w:t xml:space="preserve">and </w:t>
      </w:r>
      <w:r w:rsidR="00A64607" w:rsidRPr="00DC5800">
        <w:rPr>
          <w:color w:val="000000" w:themeColor="text1"/>
        </w:rPr>
        <w:t xml:space="preserve">the </w:t>
      </w:r>
      <w:r w:rsidR="00483860" w:rsidRPr="00DC5800">
        <w:rPr>
          <w:rFonts w:hint="eastAsia"/>
          <w:color w:val="000000" w:themeColor="text1"/>
        </w:rPr>
        <w:t>TACMRS website</w:t>
      </w:r>
      <w:r w:rsidR="00724B40" w:rsidRPr="00DC5800">
        <w:rPr>
          <w:rFonts w:hint="eastAsia"/>
          <w:color w:val="000000" w:themeColor="text1"/>
        </w:rPr>
        <w:t xml:space="preserve"> at</w:t>
      </w:r>
      <w:r w:rsidR="00483860" w:rsidRPr="00DC5800">
        <w:rPr>
          <w:rFonts w:hint="eastAsia"/>
          <w:color w:val="000000" w:themeColor="text1"/>
        </w:rPr>
        <w:t xml:space="preserve"> </w:t>
      </w:r>
      <w:hyperlink r:id="rId9" w:history="1">
        <w:r w:rsidR="00BE71F3" w:rsidRPr="00D37EE5">
          <w:rPr>
            <w:rStyle w:val="a7"/>
          </w:rPr>
          <w:t>http://tacmrs.org.tw/main.php</w:t>
        </w:r>
      </w:hyperlink>
      <w:r w:rsidR="00DC5800" w:rsidRPr="00DC5800">
        <w:rPr>
          <w:color w:val="000000" w:themeColor="text1"/>
        </w:rPr>
        <w:t>.</w:t>
      </w:r>
    </w:p>
    <w:p w14:paraId="5A9CF2E6" w14:textId="77777777" w:rsidR="008A1BDC" w:rsidRPr="00B048D3" w:rsidRDefault="003C4B81"/>
    <w:sectPr w:rsidR="008A1BDC" w:rsidRPr="00B048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7F30F" w14:textId="77777777" w:rsidR="003C4B81" w:rsidRDefault="003C4B81" w:rsidP="00B048D3">
      <w:r>
        <w:separator/>
      </w:r>
    </w:p>
  </w:endnote>
  <w:endnote w:type="continuationSeparator" w:id="0">
    <w:p w14:paraId="62D7F0D9" w14:textId="77777777" w:rsidR="003C4B81" w:rsidRDefault="003C4B81" w:rsidP="00B0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A254D" w14:textId="77777777" w:rsidR="003C4B81" w:rsidRDefault="003C4B81" w:rsidP="00B048D3">
      <w:r>
        <w:separator/>
      </w:r>
    </w:p>
  </w:footnote>
  <w:footnote w:type="continuationSeparator" w:id="0">
    <w:p w14:paraId="6459619F" w14:textId="77777777" w:rsidR="003C4B81" w:rsidRDefault="003C4B81" w:rsidP="00B04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tDQ3Mjc1MzA1M7dQ0lEKTi0uzszPAykwNKsFAP3yzfstAAAA"/>
  </w:docVars>
  <w:rsids>
    <w:rsidRoot w:val="00C814B1"/>
    <w:rsid w:val="00051B85"/>
    <w:rsid w:val="0005724F"/>
    <w:rsid w:val="00092C9C"/>
    <w:rsid w:val="000A2CE5"/>
    <w:rsid w:val="000A36FB"/>
    <w:rsid w:val="000B6D9F"/>
    <w:rsid w:val="000D43D8"/>
    <w:rsid w:val="000D4A24"/>
    <w:rsid w:val="001016E5"/>
    <w:rsid w:val="0019002E"/>
    <w:rsid w:val="001925B7"/>
    <w:rsid w:val="001B27F7"/>
    <w:rsid w:val="001C3F2E"/>
    <w:rsid w:val="001E5DA7"/>
    <w:rsid w:val="00220FC5"/>
    <w:rsid w:val="00241223"/>
    <w:rsid w:val="0024686F"/>
    <w:rsid w:val="00256457"/>
    <w:rsid w:val="0027688F"/>
    <w:rsid w:val="00294C3C"/>
    <w:rsid w:val="003B02BD"/>
    <w:rsid w:val="003C4B81"/>
    <w:rsid w:val="003D612D"/>
    <w:rsid w:val="00415BB2"/>
    <w:rsid w:val="00474403"/>
    <w:rsid w:val="00483860"/>
    <w:rsid w:val="00492D13"/>
    <w:rsid w:val="0049382C"/>
    <w:rsid w:val="00494E09"/>
    <w:rsid w:val="00496DF9"/>
    <w:rsid w:val="004A1A1A"/>
    <w:rsid w:val="004A3789"/>
    <w:rsid w:val="004D5D8C"/>
    <w:rsid w:val="00565D72"/>
    <w:rsid w:val="005701A9"/>
    <w:rsid w:val="005925CE"/>
    <w:rsid w:val="00593F6D"/>
    <w:rsid w:val="005B017C"/>
    <w:rsid w:val="005B154B"/>
    <w:rsid w:val="005E7ED1"/>
    <w:rsid w:val="005F7A2D"/>
    <w:rsid w:val="00600B78"/>
    <w:rsid w:val="00614C28"/>
    <w:rsid w:val="006309AB"/>
    <w:rsid w:val="006945A6"/>
    <w:rsid w:val="006D2EB4"/>
    <w:rsid w:val="006F6B3A"/>
    <w:rsid w:val="00724B40"/>
    <w:rsid w:val="00741699"/>
    <w:rsid w:val="007838F1"/>
    <w:rsid w:val="007F5C11"/>
    <w:rsid w:val="00844C47"/>
    <w:rsid w:val="008673E2"/>
    <w:rsid w:val="00867A39"/>
    <w:rsid w:val="00867D4E"/>
    <w:rsid w:val="00881DA3"/>
    <w:rsid w:val="008E2BEE"/>
    <w:rsid w:val="00914C2D"/>
    <w:rsid w:val="00943EE5"/>
    <w:rsid w:val="0095021F"/>
    <w:rsid w:val="00971AA6"/>
    <w:rsid w:val="009A673D"/>
    <w:rsid w:val="009D7070"/>
    <w:rsid w:val="00A15E2B"/>
    <w:rsid w:val="00A42DCB"/>
    <w:rsid w:val="00A6015B"/>
    <w:rsid w:val="00A64607"/>
    <w:rsid w:val="00A977B2"/>
    <w:rsid w:val="00AA5DD0"/>
    <w:rsid w:val="00AB4C6B"/>
    <w:rsid w:val="00AC4882"/>
    <w:rsid w:val="00AD1290"/>
    <w:rsid w:val="00B048D3"/>
    <w:rsid w:val="00B2355C"/>
    <w:rsid w:val="00B25EB8"/>
    <w:rsid w:val="00B32BDC"/>
    <w:rsid w:val="00B47D13"/>
    <w:rsid w:val="00B634C1"/>
    <w:rsid w:val="00BA327B"/>
    <w:rsid w:val="00BB3558"/>
    <w:rsid w:val="00BE71F3"/>
    <w:rsid w:val="00C045B4"/>
    <w:rsid w:val="00C1059F"/>
    <w:rsid w:val="00C7196A"/>
    <w:rsid w:val="00C814B1"/>
    <w:rsid w:val="00C87038"/>
    <w:rsid w:val="00CC14A0"/>
    <w:rsid w:val="00CE5F69"/>
    <w:rsid w:val="00D66337"/>
    <w:rsid w:val="00D72D67"/>
    <w:rsid w:val="00D96668"/>
    <w:rsid w:val="00DC5800"/>
    <w:rsid w:val="00DE1E77"/>
    <w:rsid w:val="00E32900"/>
    <w:rsid w:val="00E43627"/>
    <w:rsid w:val="00E512D9"/>
    <w:rsid w:val="00E63F2C"/>
    <w:rsid w:val="00EB4645"/>
    <w:rsid w:val="00EE16B9"/>
    <w:rsid w:val="00EE7584"/>
    <w:rsid w:val="00FB6D9E"/>
    <w:rsid w:val="00FC327A"/>
    <w:rsid w:val="00FC3778"/>
    <w:rsid w:val="00FD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90F93"/>
  <w15:docId w15:val="{20309B1A-53D6-4A7D-B514-51FA20A8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8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8D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48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48D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48D3"/>
    <w:rPr>
      <w:sz w:val="20"/>
      <w:szCs w:val="20"/>
    </w:rPr>
  </w:style>
  <w:style w:type="character" w:styleId="a7">
    <w:name w:val="Hyperlink"/>
    <w:rsid w:val="00B048D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42DCB"/>
    <w:rPr>
      <w:rFonts w:ascii="Segoe UI" w:hAnsi="Segoe UI" w:cs="Segoe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2DCB"/>
    <w:rPr>
      <w:rFonts w:ascii="Segoe UI" w:eastAsia="新細明體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309A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09AB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6309AB"/>
    <w:rPr>
      <w:rFonts w:ascii="Times New Roman" w:eastAsia="新細明體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09A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309AB"/>
    <w:rPr>
      <w:rFonts w:ascii="Times New Roman" w:eastAsia="新細明體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20tacmrs.wordpres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cmrs.ntu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acmrs.org.tw/main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3D2F0-F99B-48CD-82AE-751DB9B8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sophia</cp:lastModifiedBy>
  <cp:revision>3</cp:revision>
  <dcterms:created xsi:type="dcterms:W3CDTF">2020-01-05T03:21:00Z</dcterms:created>
  <dcterms:modified xsi:type="dcterms:W3CDTF">2020-01-06T01:48:00Z</dcterms:modified>
</cp:coreProperties>
</file>